
<file path=[Content_Types].xml><?xml version="1.0" encoding="utf-8"?>
<Types xmlns="http://schemas.openxmlformats.org/package/2006/content-types">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水井坞水库防洪抢险应急预案</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1  总则</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1.1  编制目的</w:t>
      </w:r>
    </w:p>
    <w:p>
      <w:pPr>
        <w:widowControl/>
        <w:pBdr>
          <w:top w:val="none" w:color="000000" w:sz="0" w:space="3"/>
          <w:left w:val="none" w:color="000000" w:sz="0" w:space="3"/>
          <w:bottom w:val="none" w:color="000000" w:sz="0" w:space="3"/>
          <w:right w:val="none" w:color="000000" w:sz="0" w:space="3"/>
        </w:pBdr>
        <w:shd w:val="clear" w:color="000000" w:fill="FFFFFF"/>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为预防灾害性水文气候和工程本身突发性重大险情和各种突发事件发生时，有效保护国家和人民生命财产安全，最大限度地防止和减轻灾害损失，保证水库安全，结合水井坞水库自身特点和工程实际，特编制本预案。</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1.2  编制依据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《应急预案》的编制依据是《中华人民共和国防洪法》、《中华人民共和国防汛条例》、《水库大坝安全管理条例》等有关法律、法规、规章以及有关技术规范、规程和经批准的水库汛期调度运用计划。</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2  基本情况</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2.1  工程概况</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该工程始建于1968年，2010年溢洪道拓宽，2015年进行除险加固达到现有规模。集雨面积0.14平方公里，总库容10万m3，有效库容8.89万m3，防洪库容1.1万m3，坝顶高程67.5米，最大坝高7米，坝顶长度34米，溢洪道底板高程65.71米，底宽2.6米，设计洪水标准20年一遇，灌溉放水采用斜管型式放水，涵管直径0.8米，灌溉面积200亩，是一座以灌溉为主，兼有防洪等综合效益的小（二）型水库。水库枢纽建筑物主要由大坝、溢洪道、灌溉引水系统和渠系工程等组成。工程等别为Ⅴ等，永久性主要建筑物为5级，次要建筑物属5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水库聘用了1名水库安全管理员负责日常管理工作，聘用了1名水库维养人员负责日常维养工作。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水库暂无主要安全问题。</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2.2  防洪调度方式</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主汛期为4－6月，汛期限制水位65.71m；后汛期7－9月，汛期限制水位65.71m。</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1）水库未达到汛限水位的防范措施。 开展以防汛为中心的安全检查，查缺陷，查隐患，主要对大坝、溢洪道、放水设施、防汛应急物资等进行全面认真地检查，发现缺陷和问题及时组织整改处理。</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2）水库水位达到汛限水位又遭遇洪水的主要措施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a.水库防汛负责人、直接责任人、技术人员、安全管理员全部到岗到位，坚持24小时值班，并及时观测收集分析水雨情的变化情况。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b.加强巡查，保证溢洪道泄洪通畅。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c.加强与气象、水文、防汛部门的联系，及时上报水库水、雨、工情。</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3）当出现险情时或出现超标准洪水的主要措施</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a、水库的防汛调度工作坚决服从县、镇防指的领导和指挥。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b、一般险情，利用电话、手机等通信设备及时向县、镇防汛部门汇报，并疏散周围受影响群众。</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c、当出现较危急汛情时，抢险队伍和抢险的防汛物资及时到位。并联系当地武警、民兵及干部职工进行抢险。</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d、出现危急汛情或出现超标准洪水时立即转移下游受威胁群众，并及时把汛情汇报给当地人民政府。本村干部负责此期间的交通管制，以确保人民的生命财产和国家财产的安全。</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2.3  历史险情及抢险情况</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本工程历史无险情发生。</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3  应急保障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3.1  组织保障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行政责任人：</w:t>
      </w:r>
      <w:r>
        <w:rPr>
          <w:rFonts w:hint="eastAsia" w:ascii="宋体" w:hAnsi="宋体" w:eastAsia="宋体" w:cs="宋体"/>
          <w:bCs/>
          <w:sz w:val="28"/>
          <w:szCs w:val="28"/>
        </w:rPr>
        <w:t>周奇峰</w:t>
      </w:r>
      <w:r>
        <w:rPr>
          <w:rFonts w:hint="eastAsia" w:ascii="宋体" w:hAnsi="宋体" w:eastAsia="宋体" w:cs="宋体"/>
          <w:sz w:val="28"/>
          <w:szCs w:val="28"/>
        </w:rPr>
        <w:t>，联系电话：</w:t>
      </w:r>
      <w:r>
        <w:rPr>
          <w:rFonts w:hint="eastAsia" w:ascii="宋体" w:hAnsi="宋体" w:eastAsia="宋体" w:cs="宋体"/>
          <w:bCs/>
          <w:sz w:val="28"/>
          <w:szCs w:val="28"/>
        </w:rPr>
        <w:t>13807986618</w:t>
      </w:r>
      <w:r>
        <w:rPr>
          <w:rFonts w:hint="eastAsia" w:ascii="宋体" w:hAnsi="宋体" w:eastAsia="宋体" w:cs="宋体"/>
          <w:sz w:val="28"/>
          <w:szCs w:val="28"/>
        </w:rPr>
        <w:t>，负责督促及时处理影响安全度汛的有关问题；督促开展水库汛前及汛期安全检查；督促制订水库防洪调度运用计划及防洪抢险应急预案；督促开展防汛值守、安全监测、管理维护、雨水情工情等防汛信息监测及报送；督促执行防洪调度指令和经批准的水库防洪调度运用计划；督促落实防汛经费、抢险队伍和物资储备；组织协调、现场指挥水库防洪和抢险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直接责任人：</w:t>
      </w:r>
      <w:r>
        <w:rPr>
          <w:rFonts w:hint="eastAsia" w:ascii="宋体" w:hAnsi="宋体" w:eastAsia="宋体" w:cs="宋体"/>
          <w:bCs/>
          <w:sz w:val="28"/>
          <w:szCs w:val="28"/>
        </w:rPr>
        <w:t>翟育勇</w:t>
      </w:r>
      <w:r>
        <w:rPr>
          <w:rFonts w:hint="eastAsia" w:ascii="宋体" w:hAnsi="宋体" w:eastAsia="宋体" w:cs="宋体"/>
          <w:sz w:val="28"/>
          <w:szCs w:val="28"/>
        </w:rPr>
        <w:t>，联系电话：</w:t>
      </w:r>
      <w:r>
        <w:rPr>
          <w:rFonts w:hint="eastAsia" w:ascii="宋体" w:hAnsi="宋体" w:eastAsia="宋体" w:cs="宋体"/>
          <w:bCs/>
          <w:sz w:val="28"/>
          <w:szCs w:val="28"/>
        </w:rPr>
        <w:t>13507985038</w:t>
      </w:r>
      <w:r>
        <w:rPr>
          <w:rFonts w:hint="eastAsia" w:ascii="宋体" w:hAnsi="宋体" w:eastAsia="宋体" w:cs="宋体"/>
          <w:sz w:val="28"/>
          <w:szCs w:val="28"/>
        </w:rPr>
        <w:t>；负责执行防洪调度指令和经批准的防洪调度运用计划；负责组织水库防汛安全检查和安全隐患处置；负责组织水库防汛值守、安全监测、管理维护、雨水情工情等防汛信息监测及报送；负责落实防汛经费；负责储备防汛物资、落实抢险队伍、组织防洪应急抢险；负责按有关规定做好水库大坝安全鉴定工作。</w:t>
      </w:r>
    </w:p>
    <w:p>
      <w:pPr>
        <w:ind w:firstLine="560" w:firstLineChars="200"/>
        <w:jc w:val="left"/>
        <w:rPr>
          <w:rFonts w:hint="eastAsia" w:ascii="宋体" w:hAnsi="宋体" w:eastAsia="宋体" w:cs="宋体"/>
          <w:bCs/>
          <w:sz w:val="28"/>
          <w:szCs w:val="28"/>
        </w:rPr>
      </w:pPr>
      <w:r>
        <w:rPr>
          <w:rFonts w:hint="eastAsia" w:ascii="宋体" w:hAnsi="宋体" w:eastAsia="宋体" w:cs="宋体"/>
          <w:sz w:val="28"/>
          <w:szCs w:val="28"/>
        </w:rPr>
        <w:t>技术责任人：</w:t>
      </w:r>
      <w:r>
        <w:rPr>
          <w:rFonts w:hint="eastAsia" w:ascii="宋体" w:hAnsi="宋体" w:eastAsia="宋体" w:cs="宋体"/>
          <w:bCs/>
          <w:sz w:val="28"/>
          <w:szCs w:val="28"/>
        </w:rPr>
        <w:t>彭长寿</w:t>
      </w:r>
      <w:r>
        <w:rPr>
          <w:rFonts w:hint="eastAsia" w:ascii="宋体" w:hAnsi="宋体" w:eastAsia="宋体" w:cs="宋体"/>
          <w:sz w:val="28"/>
          <w:szCs w:val="28"/>
        </w:rPr>
        <w:t>，联系电话：</w:t>
      </w:r>
      <w:r>
        <w:rPr>
          <w:rFonts w:hint="eastAsia" w:ascii="宋体" w:hAnsi="宋体" w:eastAsia="宋体" w:cs="宋体"/>
          <w:bCs/>
          <w:sz w:val="28"/>
          <w:szCs w:val="28"/>
        </w:rPr>
        <w:t>13707987619</w:t>
      </w:r>
      <w:r>
        <w:rPr>
          <w:rFonts w:hint="eastAsia" w:ascii="宋体" w:hAnsi="宋体" w:eastAsia="宋体" w:cs="宋体"/>
          <w:sz w:val="28"/>
          <w:szCs w:val="28"/>
        </w:rPr>
        <w:t>；负责制订水库防洪调度运用计划及防洪抢险应急预案；负责组织制定水库险情应急处置方案；负责指导水库洪水预测预报工作。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巡查责任人：</w:t>
      </w:r>
      <w:r>
        <w:rPr>
          <w:rFonts w:hint="eastAsia" w:ascii="宋体" w:hAnsi="宋体" w:eastAsia="宋体" w:cs="宋体"/>
          <w:color w:val="000000"/>
          <w:kern w:val="0"/>
          <w:sz w:val="28"/>
          <w:szCs w:val="28"/>
        </w:rPr>
        <w:t>冯桂发</w:t>
      </w:r>
      <w:r>
        <w:rPr>
          <w:rFonts w:hint="eastAsia" w:ascii="宋体" w:hAnsi="宋体" w:eastAsia="宋体" w:cs="宋体"/>
          <w:sz w:val="28"/>
          <w:szCs w:val="28"/>
        </w:rPr>
        <w:t>（电话：</w:t>
      </w:r>
      <w:r>
        <w:rPr>
          <w:rFonts w:hint="eastAsia" w:ascii="宋体" w:hAnsi="宋体" w:eastAsia="宋体" w:cs="宋体"/>
          <w:color w:val="000000"/>
          <w:kern w:val="0"/>
          <w:sz w:val="28"/>
          <w:szCs w:val="28"/>
        </w:rPr>
        <w:t>13097102463</w:t>
      </w:r>
      <w:r>
        <w:rPr>
          <w:rFonts w:hint="eastAsia" w:ascii="宋体" w:hAnsi="宋体" w:eastAsia="宋体" w:cs="宋体"/>
          <w:sz w:val="28"/>
          <w:szCs w:val="28"/>
        </w:rPr>
        <w:t>）；负责水雨情的观测和报汛工作；负责按要求对工程进行巡查，发现隐患或险情立即报告水库行政责任人；负责水库坝容坝貌和现场防汛物料管理；负责执行防洪调度指令和经批准的防洪调度运用计划。</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成立水井坞水库应急抢险临时指挥部，镇党委委员副镇长</w:t>
      </w:r>
      <w:r>
        <w:rPr>
          <w:rFonts w:hint="eastAsia" w:ascii="宋体" w:hAnsi="宋体" w:eastAsia="宋体" w:cs="宋体"/>
          <w:bCs/>
          <w:sz w:val="28"/>
          <w:szCs w:val="28"/>
        </w:rPr>
        <w:t>翟育勇</w:t>
      </w:r>
      <w:r>
        <w:rPr>
          <w:rFonts w:hint="eastAsia" w:ascii="宋体" w:hAnsi="宋体" w:eastAsia="宋体" w:cs="宋体"/>
          <w:sz w:val="28"/>
          <w:szCs w:val="28"/>
        </w:rPr>
        <w:t>任指挥，联系电话：</w:t>
      </w:r>
      <w:r>
        <w:rPr>
          <w:rFonts w:hint="eastAsia" w:ascii="宋体" w:hAnsi="宋体" w:eastAsia="宋体" w:cs="宋体"/>
          <w:bCs/>
          <w:sz w:val="28"/>
          <w:szCs w:val="28"/>
        </w:rPr>
        <w:t>13507985038</w:t>
      </w:r>
      <w:r>
        <w:rPr>
          <w:rFonts w:hint="eastAsia" w:ascii="宋体" w:hAnsi="宋体" w:eastAsia="宋体" w:cs="宋体"/>
          <w:sz w:val="28"/>
          <w:szCs w:val="28"/>
        </w:rPr>
        <w:t>负责组织协调、现场指挥水库防洪和抢险工作；成员有：</w:t>
      </w:r>
      <w:r>
        <w:rPr>
          <w:rFonts w:hint="eastAsia" w:ascii="宋体" w:hAnsi="宋体" w:eastAsia="宋体" w:cs="宋体"/>
          <w:color w:val="000000"/>
          <w:kern w:val="0"/>
          <w:sz w:val="28"/>
          <w:szCs w:val="28"/>
        </w:rPr>
        <w:t>冯桂发</w:t>
      </w:r>
      <w:r>
        <w:rPr>
          <w:rFonts w:hint="eastAsia" w:ascii="宋体" w:hAnsi="宋体" w:eastAsia="宋体" w:cs="宋体"/>
          <w:sz w:val="28"/>
          <w:szCs w:val="28"/>
        </w:rPr>
        <w:t>（电话：</w:t>
      </w:r>
      <w:r>
        <w:rPr>
          <w:rFonts w:hint="eastAsia" w:ascii="宋体" w:hAnsi="宋体" w:eastAsia="宋体" w:cs="宋体"/>
          <w:color w:val="000000"/>
          <w:kern w:val="0"/>
          <w:sz w:val="28"/>
          <w:szCs w:val="28"/>
        </w:rPr>
        <w:t>13097102463</w:t>
      </w:r>
      <w:r>
        <w:rPr>
          <w:rFonts w:hint="eastAsia" w:ascii="宋体" w:hAnsi="宋体" w:eastAsia="宋体" w:cs="宋体"/>
          <w:sz w:val="28"/>
          <w:szCs w:val="28"/>
        </w:rPr>
        <w:t>）负责信息监测；冯双洋13155779930负责转移安置；张浩云（电话：13979809802）负责临时生活保障；张爱国（电话：13207986103）负责组织应急抢险队伍。</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3.2  队伍保障</w:t>
      </w:r>
    </w:p>
    <w:p>
      <w:pPr>
        <w:spacing w:line="560" w:lineRule="atLeas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队长由灵安村委员张爱国担任，（电话：13207986103），并负责召集务工在家的村干部、组干部、党员、民兵及青壮年劳动力等30人。 </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3.3  物资保障</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现场储备砂卵石10方、块石5方、编织袋150只、木头10根等应急抢险物资，管理人员</w:t>
      </w:r>
      <w:r>
        <w:rPr>
          <w:rFonts w:hint="eastAsia" w:ascii="宋体" w:hAnsi="宋体" w:eastAsia="宋体" w:cs="宋体"/>
          <w:color w:val="000000"/>
          <w:kern w:val="0"/>
          <w:sz w:val="28"/>
          <w:szCs w:val="28"/>
        </w:rPr>
        <w:t>冯桂发</w:t>
      </w:r>
      <w:r>
        <w:rPr>
          <w:rFonts w:hint="eastAsia" w:ascii="宋体" w:hAnsi="宋体" w:eastAsia="宋体" w:cs="宋体"/>
          <w:sz w:val="28"/>
          <w:szCs w:val="28"/>
        </w:rPr>
        <w:t>（电话：</w:t>
      </w:r>
      <w:r>
        <w:rPr>
          <w:rFonts w:hint="eastAsia" w:ascii="宋体" w:hAnsi="宋体" w:eastAsia="宋体" w:cs="宋体"/>
          <w:color w:val="000000"/>
          <w:kern w:val="0"/>
          <w:sz w:val="28"/>
          <w:szCs w:val="28"/>
        </w:rPr>
        <w:t>13097102463</w:t>
      </w:r>
      <w:r>
        <w:rPr>
          <w:rFonts w:hint="eastAsia" w:ascii="宋体" w:hAnsi="宋体" w:eastAsia="宋体" w:cs="宋体"/>
          <w:sz w:val="28"/>
          <w:szCs w:val="28"/>
        </w:rPr>
        <w:t>）。</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3.4  其它保障</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通信、交通、电力保障措施分别由通信、交通、电力单位做好抢修保障工作。灵安村委会负责组织汛前防洪抢险演练。</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4  巡查与险情处置</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4.1  巡查与险情报告</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4.1.1工程安排专人管理,监测、巡查、重点巡查库水位、大坝是否有漏水，溢洪道是否畅通，涵管是否漏水。汛期每天查一次，遇到下雨天要增加巡查次数，下强降雨时要24小时有人值班巡查。</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4.1.2平时的监测、巡查由水库管理员负责，并将每天巡查情况记录在册。下强降雨时由受益村负责人组织增加巡查人员。发现险情立即报告镇防指，如遇无法判断处理的险情，由镇防指及时向县防指汇报，并要求专家会诊，做到准确、科学地处理险情。</w:t>
      </w:r>
    </w:p>
    <w:p>
      <w:pPr>
        <w:spacing w:line="560" w:lineRule="exact"/>
        <w:ind w:firstLine="560" w:firstLineChars="200"/>
        <w:jc w:val="left"/>
        <w:outlineLvl w:val="1"/>
        <w:rPr>
          <w:rFonts w:hint="eastAsia" w:ascii="宋体" w:hAnsi="宋体" w:eastAsia="宋体" w:cs="宋体"/>
          <w:sz w:val="28"/>
          <w:szCs w:val="28"/>
        </w:rPr>
      </w:pPr>
      <w:r>
        <w:rPr>
          <w:rFonts w:hint="eastAsia" w:ascii="宋体" w:hAnsi="宋体" w:eastAsia="宋体" w:cs="宋体"/>
          <w:sz w:val="28"/>
          <w:szCs w:val="28"/>
        </w:rPr>
        <w:t>4.2  险情处置</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水库巡查人员发现险情后，立即报告水库直接责任人及行政责任人；应急抢险临时指挥部制定水库险情处置方案，组织抢险队伍实施抢险。险情处置完毕后，安排人员值守监测。</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若险情将威胁大坝安全，做好下游危险区人员转移安置准备。</w:t>
      </w:r>
    </w:p>
    <w:p>
      <w:pPr>
        <w:ind w:firstLine="562" w:firstLineChars="200"/>
        <w:outlineLvl w:val="0"/>
        <w:rPr>
          <w:rFonts w:hint="eastAsia" w:ascii="宋体" w:hAnsi="宋体" w:eastAsia="宋体" w:cs="宋体"/>
          <w:b/>
          <w:sz w:val="28"/>
          <w:szCs w:val="28"/>
        </w:rPr>
      </w:pPr>
      <w:r>
        <w:rPr>
          <w:rFonts w:hint="eastAsia" w:ascii="宋体" w:hAnsi="宋体" w:eastAsia="宋体" w:cs="宋体"/>
          <w:b/>
          <w:sz w:val="28"/>
          <w:szCs w:val="28"/>
        </w:rPr>
        <w:t>5、超标准洪水与溃坝洪水防御方案</w:t>
      </w:r>
    </w:p>
    <w:p>
      <w:pPr>
        <w:ind w:firstLine="560" w:firstLineChars="200"/>
        <w:outlineLvl w:val="1"/>
        <w:rPr>
          <w:rFonts w:hint="eastAsia" w:ascii="宋体" w:hAnsi="宋体" w:eastAsia="宋体" w:cs="宋体"/>
          <w:sz w:val="28"/>
          <w:szCs w:val="28"/>
        </w:rPr>
      </w:pPr>
      <w:r>
        <w:rPr>
          <w:rFonts w:hint="eastAsia" w:ascii="宋体" w:hAnsi="宋体" w:eastAsia="宋体" w:cs="宋体"/>
          <w:sz w:val="28"/>
          <w:szCs w:val="28"/>
        </w:rPr>
        <w:t>5.1  超标准洪水防御方案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当水库上游流域内发生超标准洪水时，水库以保坝为原则，采取果断措施，排泄库内洪水，使洪水不漫坝，确保大坝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5.2  溃坝洪水防御方案</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1、若遇特大暴雨，水库水位上涨迅速，坝体发生异常，水库有溃坝迹象而又无法控制时，立即上报上级防汛部门，并立即与下游各级防汛单位取得联系，做好人员转移安置的准备工作。</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2、水库即将溃坝，由镇政府有组织地做好受淹地区人员的转移安置工作。并通过有线广播、电话和各种通讯工具通知水库下游沿河各村、组，迅速转移低洼地区的人员和财产。</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3、抢险队伍按照部署全部到位，做好抢险准备。</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4、防汛救灾物资准备齐全，防汛车辆全部到位。确保通往水库的道路畅通。</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5、配备好二种以上的通讯设备，随时保持与外界的联系</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6  人员转移与安置</w:t>
      </w:r>
    </w:p>
    <w:p>
      <w:pPr>
        <w:widowControl/>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水库下游危险区范围有常田村小组，户数11户，人口40人；转移安置负责人: 冯双洋13155779930；转移路线：就近；安置点：村后高地农户家；人员转移命令方式：鸣锣。</w:t>
      </w:r>
    </w:p>
    <w:p>
      <w:pPr>
        <w:spacing w:line="560" w:lineRule="exact"/>
        <w:ind w:firstLine="562" w:firstLineChars="200"/>
        <w:jc w:val="left"/>
        <w:outlineLvl w:val="0"/>
        <w:rPr>
          <w:rFonts w:hint="eastAsia" w:ascii="宋体" w:hAnsi="宋体" w:eastAsia="宋体" w:cs="宋体"/>
          <w:b/>
          <w:sz w:val="28"/>
          <w:szCs w:val="28"/>
        </w:rPr>
      </w:pPr>
      <w:r>
        <w:rPr>
          <w:rFonts w:hint="eastAsia" w:ascii="宋体" w:hAnsi="宋体" w:eastAsia="宋体" w:cs="宋体"/>
          <w:b/>
          <w:sz w:val="28"/>
          <w:szCs w:val="28"/>
        </w:rPr>
        <w:t>7附图和附表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图1. 水库地理位置示意图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注：若下游有重要设施或重要保护对象，在图中予以标注。</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图2. 水库枢纽平面布置图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图3. 人员转移安置示意图</w:t>
      </w:r>
    </w:p>
    <w:p>
      <w:pPr>
        <w:spacing w:line="56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附表：</w:t>
      </w:r>
      <w:r>
        <w:rPr>
          <w:rFonts w:hint="eastAsia" w:ascii="宋体" w:hAnsi="宋体" w:eastAsia="宋体" w:cs="宋体"/>
          <w:sz w:val="28"/>
          <w:szCs w:val="28"/>
          <w:u w:val="single"/>
        </w:rPr>
        <w:t>2024</w:t>
      </w:r>
      <w:r>
        <w:rPr>
          <w:rFonts w:hint="eastAsia" w:ascii="宋体" w:hAnsi="宋体" w:eastAsia="宋体" w:cs="宋体"/>
          <w:sz w:val="28"/>
          <w:szCs w:val="28"/>
        </w:rPr>
        <w:t>年</w:t>
      </w:r>
      <w:r>
        <w:rPr>
          <w:rFonts w:hint="eastAsia" w:ascii="宋体" w:hAnsi="宋体" w:eastAsia="宋体" w:cs="宋体"/>
          <w:sz w:val="28"/>
          <w:szCs w:val="28"/>
          <w:u w:val="single"/>
        </w:rPr>
        <w:t>水井坞</w:t>
      </w:r>
      <w:r>
        <w:rPr>
          <w:rFonts w:hint="eastAsia" w:ascii="宋体" w:hAnsi="宋体" w:eastAsia="宋体" w:cs="宋体"/>
          <w:sz w:val="28"/>
          <w:szCs w:val="28"/>
        </w:rPr>
        <w:t>水库防洪抢险应急预案简表</w:t>
      </w:r>
    </w:p>
    <w:p>
      <w:pPr>
        <w:spacing w:line="240" w:lineRule="auto"/>
        <w:jc w:val="center"/>
        <w:rPr>
          <w:rFonts w:ascii="仿宋" w:hAnsi="仿宋" w:eastAsia="仿宋" w:cs="Times New Roman"/>
          <w:sz w:val="28"/>
          <w:szCs w:val="28"/>
        </w:rPr>
      </w:pPr>
      <w:r>
        <w:drawing>
          <wp:inline distT="0" distB="0" distL="114300" distR="114300">
            <wp:extent cx="5262880" cy="3168650"/>
            <wp:effectExtent l="0" t="0" r="0" b="0"/>
            <wp:docPr id="1" name="图片模式1"/>
            <wp:cNvGraphicFramePr/>
            <a:graphic xmlns:a="http://schemas.openxmlformats.org/drawingml/2006/main">
              <a:graphicData uri="http://schemas.openxmlformats.org/drawingml/2006/picture">
                <pic:pic xmlns:pic="http://schemas.openxmlformats.org/drawingml/2006/picture">
                  <pic:nvPicPr>
                    <pic:cNvPr id="1" name="图片模式1"/>
                    <pic:cNvPicPr/>
                  </pic:nvPicPr>
                  <pic:blipFill>
                    <a:blip r:embed="rId6" cstate="print"/>
                    <a:stretch>
                      <a:fillRect/>
                    </a:stretch>
                  </pic:blipFill>
                  <pic:spPr>
                    <a:xfrm>
                      <a:off x="0" y="0"/>
                      <a:ext cx="5262880" cy="3168650"/>
                    </a:xfrm>
                    <a:prstGeom prst="rect">
                      <a:avLst/>
                    </a:prstGeom>
                    <a:noFill/>
                    <a:ln w="12700">
                      <a:noFill/>
                    </a:ln>
                  </pic:spPr>
                </pic:pic>
              </a:graphicData>
            </a:graphic>
          </wp:inline>
        </w:drawing>
      </w:r>
    </w:p>
    <w:p>
      <w:pPr>
        <w:jc w:val="center"/>
        <w:rPr>
          <w:rFonts w:ascii="仿宋" w:hAnsi="仿宋" w:eastAsia="仿宋"/>
          <w:sz w:val="28"/>
          <w:szCs w:val="28"/>
        </w:rPr>
      </w:pPr>
      <w:r>
        <w:rPr>
          <w:rFonts w:hint="eastAsia" w:ascii="仿宋" w:hAnsi="仿宋" w:eastAsia="仿宋"/>
          <w:sz w:val="28"/>
          <w:szCs w:val="28"/>
        </w:rPr>
        <w:t>水库地理位置示意图</w:t>
      </w:r>
    </w:p>
    <w:p>
      <w:pPr>
        <w:jc w:val="center"/>
      </w:pPr>
      <w:r>
        <w:drawing>
          <wp:inline distT="0" distB="0" distL="0" distR="0">
            <wp:extent cx="4975860" cy="4835525"/>
            <wp:effectExtent l="0" t="0" r="0" b="0"/>
            <wp:docPr id="2"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4"/>
                    <pic:cNvPicPr>
                      <a:picLocks noChangeAspect="1"/>
                    </pic:cNvPicPr>
                  </pic:nvPicPr>
                  <pic:blipFill>
                    <a:blip r:embed="rId7" cstate="print"/>
                    <a:srcRect l="37050" t="8400" r="33210" b="24090"/>
                    <a:stretch>
                      <a:fillRect/>
                    </a:stretch>
                  </pic:blipFill>
                  <pic:spPr>
                    <a:xfrm>
                      <a:off x="0" y="0"/>
                      <a:ext cx="4975860" cy="4835525"/>
                    </a:xfrm>
                    <a:prstGeom prst="rect">
                      <a:avLst/>
                    </a:prstGeom>
                    <a:noFill/>
                    <a:ln w="12700">
                      <a:noFill/>
                    </a:ln>
                  </pic:spPr>
                </pic:pic>
              </a:graphicData>
            </a:graphic>
          </wp:inline>
        </w:drawing>
      </w:r>
    </w:p>
    <w:p>
      <w:pPr>
        <w:widowControl/>
        <w:jc w:val="center"/>
      </w:pPr>
      <w:r>
        <w:rPr>
          <w:sz w:val="28"/>
          <w:szCs w:val="28"/>
        </w:rPr>
        <w:t>水井坞水库平面布置图</w:t>
      </w:r>
    </w:p>
    <w:p>
      <w:pPr>
        <w:sectPr>
          <w:endnotePr>
            <w:numFmt w:val="decimal"/>
          </w:endnotePr>
          <w:pgSz w:w="11906" w:h="16838"/>
          <w:pgMar w:top="1440" w:right="1800" w:bottom="1440" w:left="1800" w:header="720" w:footer="720" w:gutter="0"/>
          <w:pgNumType w:start="56"/>
          <w:cols w:space="720" w:num="1"/>
        </w:sectPr>
      </w:pPr>
    </w:p>
    <w:tbl>
      <w:tblPr>
        <w:tblStyle w:val="5"/>
        <w:tblW w:w="0" w:type="auto"/>
        <w:jc w:val="center"/>
        <w:tblLayout w:type="autofit"/>
        <w:tblCellMar>
          <w:top w:w="0" w:type="dxa"/>
          <w:left w:w="10" w:type="dxa"/>
          <w:bottom w:w="0" w:type="dxa"/>
          <w:right w:w="10" w:type="dxa"/>
        </w:tblCellMar>
      </w:tblPr>
      <w:tblGrid>
        <w:gridCol w:w="868"/>
        <w:gridCol w:w="1062"/>
        <w:gridCol w:w="360"/>
        <w:gridCol w:w="334"/>
        <w:gridCol w:w="294"/>
        <w:gridCol w:w="713"/>
        <w:gridCol w:w="713"/>
        <w:gridCol w:w="975"/>
        <w:gridCol w:w="1256"/>
        <w:gridCol w:w="636"/>
        <w:gridCol w:w="669"/>
        <w:gridCol w:w="667"/>
        <w:gridCol w:w="559"/>
        <w:gridCol w:w="641"/>
        <w:gridCol w:w="1162"/>
        <w:gridCol w:w="1542"/>
        <w:gridCol w:w="301"/>
        <w:gridCol w:w="300"/>
        <w:gridCol w:w="325"/>
        <w:gridCol w:w="317"/>
        <w:gridCol w:w="317"/>
        <w:gridCol w:w="438"/>
        <w:gridCol w:w="1165"/>
      </w:tblGrid>
      <w:tr>
        <w:tblPrEx>
          <w:tblCellMar>
            <w:top w:w="0" w:type="dxa"/>
            <w:left w:w="10" w:type="dxa"/>
            <w:bottom w:w="0" w:type="dxa"/>
            <w:right w:w="10" w:type="dxa"/>
          </w:tblCellMar>
        </w:tblPrEx>
        <w:trPr>
          <w:trHeight w:val="465" w:hRule="atLeast"/>
          <w:jc w:val="center"/>
        </w:trPr>
        <w:tc>
          <w:tcPr>
            <w:tcW w:w="0" w:type="auto"/>
            <w:gridSpan w:val="23"/>
            <w:tcBorders>
              <w:top w:val="nil"/>
              <w:left w:val="nil"/>
              <w:bottom w:val="nil"/>
              <w:right w:val="nil"/>
            </w:tcBorders>
            <w:tcMar>
              <w:top w:w="0" w:type="dxa"/>
              <w:left w:w="108" w:type="dxa"/>
              <w:bottom w:w="0" w:type="dxa"/>
              <w:right w:w="108" w:type="dxa"/>
            </w:tcMar>
            <w:vAlign w:val="center"/>
          </w:tcPr>
          <w:p>
            <w:pPr>
              <w:spacing w:line="500" w:lineRule="exact"/>
              <w:jc w:val="center"/>
              <w:rPr>
                <w:rFonts w:hint="eastAsia" w:ascii="仿宋" w:hAnsi="仿宋" w:eastAsia="仿宋" w:cs="仿宋"/>
                <w:sz w:val="36"/>
                <w:szCs w:val="36"/>
              </w:rPr>
            </w:pPr>
            <w:r>
              <w:rPr>
                <w:rFonts w:hint="eastAsia" w:ascii="仿宋" w:hAnsi="仿宋" w:eastAsia="仿宋" w:cs="仿宋"/>
                <w:sz w:val="36"/>
                <w:szCs w:val="36"/>
                <w:u w:val="single"/>
              </w:rPr>
              <w:t>2024</w:t>
            </w:r>
            <w:r>
              <w:rPr>
                <w:rFonts w:hint="eastAsia" w:ascii="仿宋" w:hAnsi="仿宋" w:eastAsia="仿宋" w:cs="仿宋"/>
                <w:sz w:val="36"/>
                <w:szCs w:val="36"/>
              </w:rPr>
              <w:t>年</w:t>
            </w:r>
            <w:r>
              <w:rPr>
                <w:rFonts w:hint="eastAsia" w:ascii="仿宋" w:hAnsi="仿宋" w:eastAsia="仿宋" w:cs="仿宋"/>
                <w:sz w:val="36"/>
                <w:szCs w:val="36"/>
                <w:u w:val="single"/>
              </w:rPr>
              <w:t>水井坞</w:t>
            </w:r>
            <w:r>
              <w:rPr>
                <w:rFonts w:hint="eastAsia" w:ascii="仿宋" w:hAnsi="仿宋" w:eastAsia="仿宋" w:cs="仿宋"/>
                <w:sz w:val="36"/>
                <w:szCs w:val="36"/>
              </w:rPr>
              <w:t>水库防洪抢险应急预案简表</w:t>
            </w:r>
          </w:p>
        </w:tc>
      </w:tr>
      <w:tr>
        <w:tblPrEx>
          <w:tblCellMar>
            <w:top w:w="0" w:type="dxa"/>
            <w:left w:w="10" w:type="dxa"/>
            <w:bottom w:w="0" w:type="dxa"/>
            <w:right w:w="10" w:type="dxa"/>
          </w:tblCellMar>
        </w:tblPrEx>
        <w:trPr>
          <w:trHeight w:val="555" w:hRule="atLeast"/>
          <w:jc w:val="center"/>
        </w:trPr>
        <w:tc>
          <w:tcPr>
            <w:tcW w:w="0" w:type="auto"/>
            <w:gridSpan w:val="23"/>
            <w:tcBorders>
              <w:top w:val="nil"/>
              <w:left w:val="nil"/>
              <w:bottom w:val="nil"/>
              <w:right w:val="nil"/>
            </w:tcBorders>
            <w:tcMar>
              <w:top w:w="0" w:type="dxa"/>
              <w:left w:w="108" w:type="dxa"/>
              <w:bottom w:w="0" w:type="dxa"/>
              <w:right w:w="108" w:type="dxa"/>
            </w:tcMar>
            <w:vAlign w:val="center"/>
          </w:tcPr>
          <w:p>
            <w:pPr>
              <w:spacing w:line="500" w:lineRule="exact"/>
              <w:rPr>
                <w:rFonts w:hint="eastAsia" w:ascii="仿宋" w:hAnsi="仿宋" w:eastAsia="仿宋" w:cs="仿宋"/>
                <w:b/>
                <w:bCs/>
                <w:sz w:val="22"/>
                <w:szCs w:val="22"/>
              </w:rPr>
            </w:pPr>
            <w:r>
              <w:rPr>
                <w:rFonts w:hint="eastAsia" w:ascii="仿宋" w:hAnsi="仿宋" w:eastAsia="仿宋" w:cs="仿宋"/>
                <w:b/>
                <w:bCs/>
                <w:sz w:val="22"/>
                <w:szCs w:val="22"/>
              </w:rPr>
              <w:t xml:space="preserve">所在县（市、区）：浮梁县      位置：湘湖镇灵安村          所在流域及水系：饶河昌江支流南河        高程系统：  黄海高程 </w:t>
            </w:r>
          </w:p>
        </w:tc>
      </w:tr>
      <w:tr>
        <w:tblPrEx>
          <w:tblCellMar>
            <w:top w:w="0" w:type="dxa"/>
            <w:left w:w="10" w:type="dxa"/>
            <w:bottom w:w="0" w:type="dxa"/>
            <w:right w:w="10" w:type="dxa"/>
          </w:tblCellMar>
        </w:tblPrEx>
        <w:trPr>
          <w:trHeight w:val="665"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工程特性</w:t>
            </w: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规模</w:t>
            </w: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主坝类型</w:t>
            </w: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管理机构</w:t>
            </w: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集雨面积（km</w:t>
            </w:r>
            <w:r>
              <w:rPr>
                <w:rFonts w:hint="eastAsia" w:ascii="仿宋" w:hAnsi="仿宋" w:eastAsia="仿宋" w:cs="仿宋"/>
                <w:sz w:val="22"/>
                <w:szCs w:val="22"/>
                <w:vertAlign w:val="superscript"/>
              </w:rPr>
              <w:t>2</w:t>
            </w:r>
            <w:r>
              <w:rPr>
                <w:rFonts w:hint="eastAsia" w:ascii="仿宋" w:hAnsi="仿宋" w:eastAsia="仿宋" w:cs="仿宋"/>
                <w:sz w:val="22"/>
                <w:szCs w:val="22"/>
              </w:rPr>
              <w:t>）</w:t>
            </w: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总库容（万m</w:t>
            </w:r>
            <w:r>
              <w:rPr>
                <w:rFonts w:hint="eastAsia" w:ascii="仿宋" w:hAnsi="仿宋" w:eastAsia="仿宋" w:cs="仿宋"/>
                <w:sz w:val="22"/>
                <w:szCs w:val="22"/>
                <w:vertAlign w:val="superscript"/>
              </w:rPr>
              <w:t>3</w:t>
            </w:r>
            <w:r>
              <w:rPr>
                <w:rFonts w:hint="eastAsia" w:ascii="仿宋" w:hAnsi="仿宋" w:eastAsia="仿宋" w:cs="仿宋"/>
                <w:sz w:val="22"/>
                <w:szCs w:val="22"/>
              </w:rPr>
              <w:t>）</w:t>
            </w: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汛限水位（主/后）</w:t>
            </w: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正常蓄水位</w:t>
            </w: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设计洪水标准</w:t>
            </w: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设计洪水位</w:t>
            </w: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校核洪水标准</w:t>
            </w: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校核洪水位</w:t>
            </w:r>
          </w:p>
        </w:tc>
      </w:tr>
      <w:tr>
        <w:tblPrEx>
          <w:tblCellMar>
            <w:top w:w="0" w:type="dxa"/>
            <w:left w:w="10" w:type="dxa"/>
            <w:bottom w:w="0" w:type="dxa"/>
            <w:right w:w="10" w:type="dxa"/>
          </w:tblCellMar>
        </w:tblPrEx>
        <w:trPr>
          <w:trHeight w:val="71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小（二）型</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斜墙土坝</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湘湖镇人民政府</w:t>
            </w: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0.14</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10</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65.71</w:t>
            </w:r>
            <w:bookmarkStart w:id="0" w:name="_GoBack"/>
            <w:bookmarkEnd w:id="0"/>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65.71</w:t>
            </w: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5%</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65.98</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0.5%</w:t>
            </w: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66.1</w:t>
            </w:r>
          </w:p>
        </w:tc>
      </w:tr>
      <w:tr>
        <w:tblPrEx>
          <w:tblCellMar>
            <w:top w:w="0" w:type="dxa"/>
            <w:left w:w="10" w:type="dxa"/>
            <w:bottom w:w="0" w:type="dxa"/>
            <w:right w:w="10" w:type="dxa"/>
          </w:tblCellMar>
        </w:tblPrEx>
        <w:trPr>
          <w:trHeight w:val="443" w:hRule="atLeast"/>
          <w:jc w:val="center"/>
        </w:trPr>
        <w:tc>
          <w:tcPr>
            <w:tcW w:w="0" w:type="auto"/>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防汛责任人</w:t>
            </w:r>
          </w:p>
        </w:tc>
        <w:tc>
          <w:tcPr>
            <w:tcW w:w="0" w:type="auto"/>
            <w:gridSpan w:val="6"/>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行政责任人</w:t>
            </w:r>
          </w:p>
        </w:tc>
        <w:tc>
          <w:tcPr>
            <w:tcW w:w="0" w:type="auto"/>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直接责任人</w:t>
            </w:r>
          </w:p>
        </w:tc>
        <w:tc>
          <w:tcPr>
            <w:tcW w:w="0" w:type="auto"/>
            <w:gridSpan w:val="4"/>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技术责任人</w:t>
            </w:r>
          </w:p>
        </w:tc>
        <w:tc>
          <w:tcPr>
            <w:tcW w:w="0" w:type="auto"/>
            <w:gridSpan w:val="7"/>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巡查责任人</w:t>
            </w:r>
          </w:p>
        </w:tc>
      </w:tr>
      <w:tr>
        <w:tblPrEx>
          <w:tblCellMar>
            <w:top w:w="0" w:type="dxa"/>
            <w:left w:w="10" w:type="dxa"/>
            <w:bottom w:w="0" w:type="dxa"/>
            <w:right w:w="10" w:type="dxa"/>
          </w:tblCellMar>
        </w:tblPrEx>
        <w:trPr>
          <w:trHeight w:val="616" w:hRule="atLeast"/>
          <w:jc w:val="center"/>
        </w:trPr>
        <w:tc>
          <w:tcPr>
            <w:tcW w:w="0" w:type="auto"/>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单位及职务</w:t>
            </w: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单位</w:t>
            </w:r>
          </w:p>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及职务</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629" w:hRule="atLeast"/>
          <w:jc w:val="center"/>
        </w:trPr>
        <w:tc>
          <w:tcPr>
            <w:tcW w:w="0" w:type="auto"/>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周奇峰</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湘湖镇人民政府镇长</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13807986618</w:t>
            </w:r>
          </w:p>
        </w:tc>
        <w:tc>
          <w:tcPr>
            <w:tcW w:w="0" w:type="auto"/>
            <w:tcBorders>
              <w:top w:val="nil"/>
              <w:left w:val="nil"/>
              <w:bottom w:val="single" w:color="000000" w:sz="4" w:space="0"/>
              <w:right w:val="single" w:color="000000" w:sz="4" w:space="0"/>
            </w:tcBorders>
            <w:tcMar>
              <w:top w:w="0" w:type="dxa"/>
              <w:left w:w="108" w:type="dxa"/>
              <w:bottom w:w="0" w:type="dxa"/>
              <w:right w:w="108" w:type="dxa"/>
            </w:tcMar>
          </w:tcPr>
          <w:p>
            <w:pPr>
              <w:jc w:val="both"/>
              <w:rPr>
                <w:rFonts w:hint="eastAsia" w:ascii="仿宋" w:hAnsi="仿宋" w:eastAsia="仿宋" w:cs="仿宋"/>
                <w:bCs/>
                <w:sz w:val="22"/>
                <w:szCs w:val="22"/>
              </w:rPr>
            </w:pPr>
            <w:r>
              <w:rPr>
                <w:rFonts w:hint="eastAsia" w:ascii="仿宋" w:hAnsi="仿宋" w:eastAsia="仿宋" w:cs="仿宋"/>
                <w:bCs/>
                <w:sz w:val="22"/>
                <w:szCs w:val="22"/>
              </w:rPr>
              <w:t>翟育勇</w:t>
            </w:r>
          </w:p>
        </w:tc>
        <w:tc>
          <w:tcPr>
            <w:tcW w:w="0" w:type="auto"/>
            <w:tcBorders>
              <w:top w:val="nil"/>
              <w:left w:val="nil"/>
              <w:bottom w:val="single" w:color="000000" w:sz="4" w:space="0"/>
              <w:right w:val="single" w:color="000000" w:sz="4" w:space="0"/>
            </w:tcBorders>
            <w:tcMar>
              <w:top w:w="0" w:type="dxa"/>
              <w:left w:w="108" w:type="dxa"/>
              <w:bottom w:w="0" w:type="dxa"/>
              <w:right w:w="108" w:type="dxa"/>
            </w:tcMar>
          </w:tcPr>
          <w:p>
            <w:pPr>
              <w:jc w:val="right"/>
              <w:rPr>
                <w:rFonts w:hint="eastAsia" w:ascii="仿宋" w:hAnsi="仿宋" w:eastAsia="仿宋" w:cs="仿宋"/>
                <w:bCs/>
                <w:sz w:val="22"/>
                <w:szCs w:val="22"/>
              </w:rPr>
            </w:pPr>
            <w:r>
              <w:rPr>
                <w:rFonts w:hint="eastAsia" w:ascii="仿宋" w:hAnsi="仿宋" w:eastAsia="仿宋" w:cs="仿宋"/>
                <w:bCs/>
                <w:sz w:val="22"/>
                <w:szCs w:val="22"/>
              </w:rPr>
              <w:t>副镇长</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ind w:right="480"/>
              <w:jc w:val="right"/>
              <w:rPr>
                <w:rFonts w:hint="eastAsia" w:ascii="仿宋" w:hAnsi="仿宋" w:eastAsia="仿宋" w:cs="仿宋"/>
                <w:sz w:val="22"/>
                <w:szCs w:val="22"/>
              </w:rPr>
            </w:pPr>
            <w:r>
              <w:rPr>
                <w:rFonts w:hint="eastAsia" w:ascii="仿宋" w:hAnsi="仿宋" w:eastAsia="仿宋" w:cs="仿宋"/>
                <w:bCs/>
                <w:sz w:val="22"/>
                <w:szCs w:val="22"/>
              </w:rPr>
              <w:t>13507985038</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bCs/>
                <w:sz w:val="22"/>
                <w:szCs w:val="22"/>
              </w:rPr>
            </w:pPr>
            <w:r>
              <w:rPr>
                <w:rFonts w:hint="eastAsia" w:ascii="仿宋" w:hAnsi="仿宋" w:eastAsia="仿宋" w:cs="仿宋"/>
                <w:bCs/>
                <w:sz w:val="22"/>
                <w:szCs w:val="22"/>
              </w:rPr>
              <w:t>彭长寿</w:t>
            </w:r>
          </w:p>
        </w:tc>
        <w:tc>
          <w:tcPr>
            <w:tcW w:w="0" w:type="auto"/>
            <w:tcBorders>
              <w:top w:val="nil"/>
              <w:left w:val="nil"/>
              <w:bottom w:val="single" w:color="000000" w:sz="4" w:space="0"/>
              <w:right w:val="single" w:color="000000" w:sz="4" w:space="0"/>
            </w:tcBorders>
            <w:tcMar>
              <w:top w:w="0" w:type="dxa"/>
              <w:left w:w="108" w:type="dxa"/>
              <w:bottom w:w="0" w:type="dxa"/>
              <w:right w:w="108" w:type="dxa"/>
            </w:tcMar>
          </w:tcPr>
          <w:p>
            <w:pPr>
              <w:jc w:val="center"/>
              <w:rPr>
                <w:rFonts w:hint="eastAsia" w:ascii="仿宋" w:hAnsi="仿宋" w:eastAsia="仿宋" w:cs="仿宋"/>
                <w:sz w:val="22"/>
                <w:szCs w:val="22"/>
              </w:rPr>
            </w:pPr>
            <w:r>
              <w:rPr>
                <w:rFonts w:hint="eastAsia" w:ascii="仿宋" w:hAnsi="仿宋" w:eastAsia="仿宋" w:cs="仿宋"/>
                <w:bCs/>
                <w:sz w:val="22"/>
                <w:szCs w:val="22"/>
              </w:rPr>
              <w:t>水利负责人</w:t>
            </w: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bCs/>
                <w:sz w:val="22"/>
                <w:szCs w:val="22"/>
              </w:rPr>
              <w:t>13707987619</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color w:val="000000"/>
                <w:kern w:val="0"/>
                <w:sz w:val="22"/>
                <w:szCs w:val="22"/>
              </w:rPr>
              <w:t>冯桂发</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水库安全管理员</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color w:val="000000"/>
                <w:kern w:val="0"/>
                <w:sz w:val="22"/>
                <w:szCs w:val="22"/>
              </w:rPr>
              <w:t>13097102463</w:t>
            </w:r>
          </w:p>
        </w:tc>
      </w:tr>
      <w:tr>
        <w:tblPrEx>
          <w:tblCellMar>
            <w:top w:w="0" w:type="dxa"/>
            <w:left w:w="10" w:type="dxa"/>
            <w:bottom w:w="0" w:type="dxa"/>
            <w:right w:w="10" w:type="dxa"/>
          </w:tblCellMar>
        </w:tblPrEx>
        <w:trPr>
          <w:trHeight w:val="470" w:hRule="atLeast"/>
          <w:jc w:val="center"/>
        </w:trPr>
        <w:tc>
          <w:tcPr>
            <w:tcW w:w="0" w:type="auto"/>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人员转移与安置</w:t>
            </w:r>
          </w:p>
        </w:tc>
        <w:tc>
          <w:tcPr>
            <w:tcW w:w="0" w:type="auto"/>
            <w:gridSpan w:val="2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转移安置主要负责人</w:t>
            </w:r>
          </w:p>
        </w:tc>
      </w:tr>
      <w:tr>
        <w:tblPrEx>
          <w:tblCellMar>
            <w:top w:w="0" w:type="dxa"/>
            <w:left w:w="10" w:type="dxa"/>
            <w:bottom w:w="0" w:type="dxa"/>
            <w:right w:w="10" w:type="dxa"/>
          </w:tblCellMar>
        </w:tblPrEx>
        <w:trPr>
          <w:trHeight w:val="551" w:hRule="atLeast"/>
          <w:jc w:val="center"/>
        </w:trPr>
        <w:tc>
          <w:tcPr>
            <w:tcW w:w="0" w:type="auto"/>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0" w:type="auto"/>
            <w:gridSpan w:val="7"/>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县（市）</w:t>
            </w:r>
          </w:p>
        </w:tc>
        <w:tc>
          <w:tcPr>
            <w:tcW w:w="0" w:type="auto"/>
            <w:gridSpan w:val="7"/>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0" w:type="auto"/>
            <w:gridSpan w:val="8"/>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r>
      <w:tr>
        <w:tblPrEx>
          <w:tblCellMar>
            <w:top w:w="0" w:type="dxa"/>
            <w:left w:w="10" w:type="dxa"/>
            <w:bottom w:w="0" w:type="dxa"/>
            <w:right w:w="10" w:type="dxa"/>
          </w:tblCellMar>
        </w:tblPrEx>
        <w:trPr>
          <w:trHeight w:val="340" w:hRule="atLeast"/>
          <w:jc w:val="center"/>
        </w:trPr>
        <w:tc>
          <w:tcPr>
            <w:tcW w:w="0" w:type="auto"/>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姓名</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职务</w:t>
            </w: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电话</w:t>
            </w:r>
          </w:p>
        </w:tc>
      </w:tr>
      <w:tr>
        <w:tblPrEx>
          <w:tblCellMar>
            <w:top w:w="0" w:type="dxa"/>
            <w:left w:w="10" w:type="dxa"/>
            <w:bottom w:w="0" w:type="dxa"/>
            <w:right w:w="10" w:type="dxa"/>
          </w:tblCellMar>
        </w:tblPrEx>
        <w:trPr>
          <w:trHeight w:val="463" w:hRule="atLeast"/>
          <w:jc w:val="center"/>
        </w:trPr>
        <w:tc>
          <w:tcPr>
            <w:tcW w:w="0" w:type="auto"/>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王天才</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县委常委组织部长</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13907985991</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童冬盛</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司法所长</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13879815481</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余军凤</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jc w:val="center"/>
              <w:rPr>
                <w:rFonts w:hint="eastAsia" w:ascii="仿宋" w:hAnsi="仿宋" w:eastAsia="仿宋" w:cs="仿宋"/>
                <w:sz w:val="22"/>
                <w:szCs w:val="22"/>
              </w:rPr>
            </w:pPr>
            <w:r>
              <w:rPr>
                <w:rFonts w:hint="eastAsia" w:ascii="仿宋" w:hAnsi="仿宋" w:eastAsia="仿宋" w:cs="仿宋"/>
                <w:sz w:val="22"/>
                <w:szCs w:val="22"/>
              </w:rPr>
              <w:t>村主任</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widowControl/>
              <w:spacing w:line="320" w:lineRule="exact"/>
              <w:rPr>
                <w:rFonts w:hint="eastAsia" w:ascii="仿宋" w:hAnsi="仿宋" w:eastAsia="仿宋" w:cs="仿宋"/>
                <w:sz w:val="22"/>
                <w:szCs w:val="22"/>
              </w:rPr>
            </w:pPr>
            <w:r>
              <w:rPr>
                <w:rFonts w:hint="eastAsia" w:ascii="仿宋" w:hAnsi="仿宋" w:eastAsia="仿宋" w:cs="仿宋"/>
                <w:sz w:val="22"/>
                <w:szCs w:val="22"/>
              </w:rPr>
              <w:t>18879832880</w:t>
            </w:r>
          </w:p>
        </w:tc>
      </w:tr>
      <w:tr>
        <w:tblPrEx>
          <w:tblCellMar>
            <w:top w:w="0" w:type="dxa"/>
            <w:left w:w="10" w:type="dxa"/>
            <w:bottom w:w="0" w:type="dxa"/>
            <w:right w:w="10" w:type="dxa"/>
          </w:tblCellMar>
        </w:tblPrEx>
        <w:trPr>
          <w:trHeight w:val="616" w:hRule="atLeast"/>
          <w:jc w:val="center"/>
        </w:trPr>
        <w:tc>
          <w:tcPr>
            <w:tcW w:w="0" w:type="auto"/>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乡（镇）</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村委会</w:t>
            </w:r>
          </w:p>
        </w:tc>
        <w:tc>
          <w:tcPr>
            <w:tcW w:w="0" w:type="auto"/>
            <w:gridSpan w:val="3"/>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自然村</w:t>
            </w: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居住高程(m)</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转移户数(户)</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转移人口(人)</w:t>
            </w:r>
          </w:p>
        </w:tc>
        <w:tc>
          <w:tcPr>
            <w:tcW w:w="0" w:type="auto"/>
            <w:gridSpan w:val="2"/>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转移安置地</w:t>
            </w:r>
          </w:p>
        </w:tc>
        <w:tc>
          <w:tcPr>
            <w:tcW w:w="0" w:type="auto"/>
            <w:tcBorders>
              <w:top w:val="nil"/>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转移距离(km)</w:t>
            </w:r>
          </w:p>
        </w:tc>
        <w:tc>
          <w:tcPr>
            <w:tcW w:w="0" w:type="auto"/>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转移路线</w:t>
            </w: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转移交通工具</w:t>
            </w:r>
          </w:p>
        </w:tc>
      </w:tr>
      <w:tr>
        <w:tblPrEx>
          <w:tblCellMar>
            <w:top w:w="0" w:type="dxa"/>
            <w:left w:w="10" w:type="dxa"/>
            <w:bottom w:w="0" w:type="dxa"/>
            <w:right w:w="10" w:type="dxa"/>
          </w:tblCellMar>
        </w:tblPrEx>
        <w:trPr>
          <w:trHeight w:val="324" w:hRule="atLeast"/>
          <w:jc w:val="center"/>
        </w:trPr>
        <w:tc>
          <w:tcPr>
            <w:tcW w:w="0" w:type="auto"/>
            <w:vMerge w:val="continue"/>
            <w:tcBorders>
              <w:top w:val="nil"/>
              <w:left w:val="single" w:color="000000" w:sz="4" w:space="0"/>
              <w:bottom w:val="nil"/>
              <w:right w:val="single" w:color="000000" w:sz="4" w:space="0"/>
            </w:tcBorders>
            <w:tcMar>
              <w:top w:w="0" w:type="dxa"/>
              <w:left w:w="108" w:type="dxa"/>
              <w:bottom w:w="0" w:type="dxa"/>
              <w:right w:w="108" w:type="dxa"/>
            </w:tcMar>
            <w:vAlign w:val="center"/>
          </w:tcPr>
          <w:p>
            <w:pPr>
              <w:rPr>
                <w:rFonts w:hint="eastAsia" w:ascii="仿宋" w:hAnsi="仿宋" w:eastAsia="仿宋" w:cs="仿宋"/>
                <w:sz w:val="22"/>
                <w:szCs w:val="22"/>
              </w:rPr>
            </w:pP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湘湖镇</w:t>
            </w: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灵安村</w:t>
            </w: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常田</w:t>
            </w: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53</w:t>
            </w: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11</w:t>
            </w: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40</w:t>
            </w: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村后高地</w:t>
            </w: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0.1</w:t>
            </w:r>
          </w:p>
        </w:tc>
        <w:tc>
          <w:tcPr>
            <w:tcW w:w="0" w:type="auto"/>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就近</w:t>
            </w: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r>
              <w:rPr>
                <w:rFonts w:hint="eastAsia" w:ascii="仿宋" w:hAnsi="仿宋" w:eastAsia="仿宋" w:cs="仿宋"/>
                <w:sz w:val="22"/>
                <w:szCs w:val="22"/>
              </w:rPr>
              <w:t>徒步</w:t>
            </w:r>
          </w:p>
        </w:tc>
      </w:tr>
      <w:tr>
        <w:tblPrEx>
          <w:tblCellMar>
            <w:top w:w="0" w:type="dxa"/>
            <w:left w:w="10" w:type="dxa"/>
            <w:bottom w:w="0" w:type="dxa"/>
            <w:right w:w="10" w:type="dxa"/>
          </w:tblCellMar>
        </w:tblPrEx>
        <w:trPr>
          <w:trHeight w:val="324" w:hRule="atLeast"/>
          <w:jc w:val="center"/>
        </w:trPr>
        <w:tc>
          <w:tcPr>
            <w:tcW w:w="0" w:type="auto"/>
            <w:tcBorders>
              <w:top w:val="nil"/>
              <w:left w:val="single" w:color="000000" w:sz="4" w:space="0"/>
              <w:bottom w:val="nil"/>
              <w:right w:val="single" w:color="000000" w:sz="4" w:space="0"/>
            </w:tcBorders>
            <w:tcMar>
              <w:top w:w="0" w:type="dxa"/>
              <w:left w:w="108" w:type="dxa"/>
              <w:bottom w:w="0" w:type="dxa"/>
              <w:right w:w="108" w:type="dxa"/>
            </w:tcMar>
            <w:vAlign w:val="center"/>
          </w:tcPr>
          <w:p>
            <w:pPr>
              <w:spacing w:line="320" w:lineRule="exact"/>
              <w:rPr>
                <w:rFonts w:hint="eastAsia" w:ascii="仿宋" w:hAnsi="仿宋" w:eastAsia="仿宋" w:cs="仿宋"/>
                <w:sz w:val="22"/>
                <w:szCs w:val="22"/>
              </w:rPr>
            </w:pP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r>
      <w:tr>
        <w:tblPrEx>
          <w:tblCellMar>
            <w:top w:w="0" w:type="dxa"/>
            <w:left w:w="10" w:type="dxa"/>
            <w:bottom w:w="0" w:type="dxa"/>
            <w:right w:w="10" w:type="dxa"/>
          </w:tblCellMar>
        </w:tblPrEx>
        <w:trPr>
          <w:trHeight w:val="324" w:hRule="atLeast"/>
          <w:jc w:val="center"/>
        </w:trPr>
        <w:tc>
          <w:tcPr>
            <w:tcW w:w="0" w:type="auto"/>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20" w:lineRule="exact"/>
              <w:rPr>
                <w:rFonts w:hint="eastAsia" w:ascii="仿宋" w:hAnsi="仿宋" w:eastAsia="仿宋" w:cs="仿宋"/>
                <w:sz w:val="22"/>
                <w:szCs w:val="22"/>
              </w:rPr>
            </w:pP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5"/>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c>
          <w:tcPr>
            <w:tcW w:w="0" w:type="auto"/>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320" w:lineRule="exact"/>
              <w:jc w:val="center"/>
              <w:rPr>
                <w:rFonts w:hint="eastAsia" w:ascii="仿宋" w:hAnsi="仿宋" w:eastAsia="仿宋" w:cs="仿宋"/>
                <w:sz w:val="22"/>
                <w:szCs w:val="22"/>
              </w:rPr>
            </w:pPr>
          </w:p>
        </w:tc>
      </w:tr>
    </w:tbl>
    <w:p/>
    <w:sectPr>
      <w:endnotePr>
        <w:numFmt w:val="decimal"/>
      </w:endnotePr>
      <w:pgSz w:w="16838" w:h="11906" w:orient="landscape"/>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0"/>
  <w:drawingGridVerticalSpacing w:val="156"/>
  <w:characterSpacingControl w:val="doNotCompress"/>
  <w:footnotePr>
    <w:footnote w:id="0"/>
    <w:footnote w:id="1"/>
  </w:footnotePr>
  <w:endnotePr>
    <w:numFmt w:val="decimal"/>
    <w:endnote w:id="0"/>
    <w:endnote w:id="1"/>
  </w:endnotePr>
  <w:compat>
    <w:doNotExpandShiftReturn/>
    <w:useFELayout/>
    <w:compatSetting w:name="compatibilityMode" w:uri="http://schemas.microsoft.com/office/word" w:val="12"/>
  </w:compat>
  <w:docVars>
    <w:docVar w:name="commondata" w:val="eyJoZGlkIjoiODZlMzQ1MjVkNzNiNmJmMDk2Y2NhNDBiMWEyYzViMDUifQ=="/>
  </w:docVars>
  <w:rsids>
    <w:rsidRoot w:val="003C66A8"/>
    <w:rsid w:val="00085507"/>
    <w:rsid w:val="001C535B"/>
    <w:rsid w:val="00293088"/>
    <w:rsid w:val="003C66A8"/>
    <w:rsid w:val="004059CF"/>
    <w:rsid w:val="0054270E"/>
    <w:rsid w:val="0055496F"/>
    <w:rsid w:val="0083082A"/>
    <w:rsid w:val="0085027E"/>
    <w:rsid w:val="00E264CF"/>
    <w:rsid w:val="00F81FBF"/>
    <w:rsid w:val="181D1979"/>
    <w:rsid w:val="42373C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360" w:lineRule="auto"/>
      <w:jc w:val="both"/>
    </w:pPr>
    <w:rPr>
      <w:rFonts w:ascii="Calibri" w:hAnsi="Calibri" w:eastAsia="宋体" w:cs="宋体"/>
      <w:kern w:val="1"/>
      <w:sz w:val="24"/>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autoRedefine/>
    <w:qFormat/>
    <w:uiPriority w:val="0"/>
    <w:pPr>
      <w:widowControl w:val="0"/>
      <w:pBdr>
        <w:top w:val="none" w:color="000000" w:sz="0" w:space="0"/>
        <w:left w:val="none" w:color="000000" w:sz="0" w:space="0"/>
        <w:bottom w:val="none" w:color="000000" w:sz="0" w:space="0"/>
        <w:right w:val="none" w:color="000000" w:sz="0" w:space="0"/>
        <w:between w:val="none" w:color="000000" w:sz="0" w:space="0"/>
      </w:pBdr>
      <w:spacing w:line="240" w:lineRule="auto"/>
      <w:jc w:val="both"/>
    </w:pPr>
    <w:rPr>
      <w:rFonts w:ascii="Calibri" w:hAnsi="Calibri" w:eastAsia="宋体" w:cs="宋体"/>
      <w:kern w:val="1"/>
      <w:sz w:val="18"/>
      <w:szCs w:val="18"/>
      <w:lang w:val="en-US" w:eastAsia="zh-CN" w:bidi="ar-SA"/>
    </w:rPr>
  </w:style>
  <w:style w:type="paragraph" w:styleId="3">
    <w:name w:val="footer"/>
    <w:basedOn w:val="1"/>
    <w:link w:val="18"/>
    <w:autoRedefine/>
    <w:semiHidden/>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17"/>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360" w:lineRule="auto"/>
      <w:ind w:firstLine="420"/>
      <w:jc w:val="both"/>
    </w:pPr>
    <w:rPr>
      <w:rFonts w:ascii="Calibri" w:hAnsi="Calibri" w:eastAsia="宋体" w:cs="宋体"/>
      <w:kern w:val="1"/>
      <w:sz w:val="24"/>
      <w:szCs w:val="24"/>
      <w:lang w:val="en-US" w:eastAsia="zh-CN" w:bidi="ar-SA"/>
    </w:rPr>
  </w:style>
  <w:style w:type="paragraph" w:customStyle="1" w:styleId="8">
    <w:name w:val="Header"/>
    <w:autoRedefine/>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spacing w:line="240" w:lineRule="auto"/>
      <w:jc w:val="center"/>
    </w:pPr>
    <w:rPr>
      <w:rFonts w:ascii="Calibri" w:hAnsi="Calibri" w:eastAsia="宋体" w:cs="宋体"/>
      <w:kern w:val="1"/>
      <w:sz w:val="18"/>
      <w:szCs w:val="18"/>
      <w:lang w:val="en-US" w:eastAsia="zh-CN" w:bidi="ar-SA"/>
    </w:rPr>
  </w:style>
  <w:style w:type="paragraph" w:customStyle="1" w:styleId="9">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spacing w:line="240" w:lineRule="auto"/>
      <w:jc w:val="left"/>
    </w:pPr>
    <w:rPr>
      <w:rFonts w:ascii="Calibri" w:hAnsi="Calibri" w:eastAsia="宋体" w:cs="宋体"/>
      <w:kern w:val="1"/>
      <w:sz w:val="18"/>
      <w:szCs w:val="18"/>
      <w:lang w:val="en-US" w:eastAsia="zh-CN" w:bidi="ar-SA"/>
    </w:rPr>
  </w:style>
  <w:style w:type="paragraph" w:customStyle="1" w:styleId="10">
    <w:name w:val="Header1"/>
    <w:autoRedefine/>
    <w:qFormat/>
    <w:uiPriority w:val="0"/>
    <w:pPr>
      <w:widowControl w:val="0"/>
      <w:pBdr>
        <w:top w:val="none" w:color="000000" w:sz="0" w:space="0"/>
        <w:left w:val="none" w:color="000000" w:sz="0" w:space="0"/>
        <w:bottom w:val="single" w:color="000000" w:sz="6" w:space="1"/>
        <w:right w:val="none" w:color="000000" w:sz="0" w:space="0"/>
        <w:between w:val="none" w:color="000000" w:sz="0" w:space="0"/>
      </w:pBdr>
      <w:tabs>
        <w:tab w:val="center" w:pos="4153"/>
        <w:tab w:val="right" w:pos="8306"/>
      </w:tabs>
      <w:spacing w:line="240" w:lineRule="auto"/>
      <w:jc w:val="center"/>
    </w:pPr>
    <w:rPr>
      <w:rFonts w:ascii="Calibri" w:hAnsi="Calibri" w:eastAsia="宋体" w:cs="宋体"/>
      <w:kern w:val="1"/>
      <w:sz w:val="18"/>
      <w:szCs w:val="18"/>
      <w:lang w:val="en-US" w:eastAsia="zh-CN" w:bidi="ar-SA"/>
    </w:rPr>
  </w:style>
  <w:style w:type="paragraph" w:customStyle="1" w:styleId="11">
    <w:name w:val="Footer1"/>
    <w:autoRedefine/>
    <w:qFormat/>
    <w:uiPriority w:val="0"/>
    <w:pPr>
      <w:widowControl w:val="0"/>
      <w:pBdr>
        <w:top w:val="none" w:color="000000" w:sz="0" w:space="0"/>
        <w:left w:val="none" w:color="000000" w:sz="0" w:space="0"/>
        <w:bottom w:val="none" w:color="000000" w:sz="0" w:space="0"/>
        <w:right w:val="none" w:color="000000" w:sz="0" w:space="0"/>
        <w:between w:val="none" w:color="000000" w:sz="0" w:space="0"/>
      </w:pBdr>
      <w:tabs>
        <w:tab w:val="center" w:pos="4153"/>
        <w:tab w:val="right" w:pos="8306"/>
      </w:tabs>
      <w:spacing w:line="240" w:lineRule="auto"/>
      <w:jc w:val="left"/>
    </w:pPr>
    <w:rPr>
      <w:rFonts w:ascii="Calibri" w:hAnsi="Calibri" w:eastAsia="宋体" w:cs="宋体"/>
      <w:kern w:val="1"/>
      <w:sz w:val="18"/>
      <w:szCs w:val="18"/>
      <w:lang w:val="en-US" w:eastAsia="zh-CN" w:bidi="ar-SA"/>
    </w:rPr>
  </w:style>
  <w:style w:type="character" w:customStyle="1" w:styleId="12">
    <w:name w:val="页眉 Char"/>
    <w:autoRedefine/>
    <w:qFormat/>
    <w:uiPriority w:val="0"/>
    <w:rPr>
      <w:rFonts w:eastAsia="仿宋_GB2312"/>
      <w:sz w:val="18"/>
      <w:szCs w:val="18"/>
    </w:rPr>
  </w:style>
  <w:style w:type="character" w:customStyle="1" w:styleId="13">
    <w:name w:val="页脚 Char"/>
    <w:autoRedefine/>
    <w:qFormat/>
    <w:uiPriority w:val="0"/>
    <w:rPr>
      <w:rFonts w:eastAsia="仿宋_GB2312"/>
      <w:sz w:val="18"/>
      <w:szCs w:val="18"/>
    </w:rPr>
  </w:style>
  <w:style w:type="character" w:customStyle="1" w:styleId="14">
    <w:name w:val="页眉 Char1"/>
    <w:autoRedefine/>
    <w:qFormat/>
    <w:uiPriority w:val="0"/>
    <w:rPr>
      <w:sz w:val="18"/>
      <w:szCs w:val="18"/>
    </w:rPr>
  </w:style>
  <w:style w:type="character" w:customStyle="1" w:styleId="15">
    <w:name w:val="页脚 Char1"/>
    <w:autoRedefine/>
    <w:qFormat/>
    <w:uiPriority w:val="0"/>
    <w:rPr>
      <w:sz w:val="18"/>
      <w:szCs w:val="18"/>
    </w:rPr>
  </w:style>
  <w:style w:type="character" w:customStyle="1" w:styleId="16">
    <w:name w:val="批注框文本 Char"/>
    <w:autoRedefine/>
    <w:qFormat/>
    <w:uiPriority w:val="0"/>
    <w:rPr>
      <w:sz w:val="18"/>
      <w:szCs w:val="18"/>
    </w:rPr>
  </w:style>
  <w:style w:type="character" w:customStyle="1" w:styleId="17">
    <w:name w:val="页眉 Char2"/>
    <w:basedOn w:val="6"/>
    <w:link w:val="4"/>
    <w:autoRedefine/>
    <w:semiHidden/>
    <w:qFormat/>
    <w:uiPriority w:val="99"/>
    <w:rPr>
      <w:sz w:val="18"/>
      <w:szCs w:val="18"/>
    </w:rPr>
  </w:style>
  <w:style w:type="character" w:customStyle="1" w:styleId="18">
    <w:name w:val="页脚 Char2"/>
    <w:basedOn w:val="6"/>
    <w:link w:val="3"/>
    <w:autoRedefine/>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wmf"/><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宋体"/>
        <a:cs typeface="宋体"/>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561</Words>
  <Characters>3203</Characters>
  <Lines>26</Lines>
  <Paragraphs>7</Paragraphs>
  <TotalTime>0</TotalTime>
  <ScaleCrop>false</ScaleCrop>
  <LinksUpToDate>false</LinksUpToDate>
  <CharactersWithSpaces>3757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2018-05-24T02:26:00Z</dcterms:created>
  <dc:creator>Administrator</dc:creator>
  <cp:lastModifiedBy>浮梁县</cp:lastModifiedBy>
  <cp:lastPrinted>2018-05-21T08:01:00Z</cp:lastPrinted>
  <dcterms:modified xsi:type="dcterms:W3CDTF">2024-03-13T15:25:51Z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51108A9E937247CC87C392783D1008C4_12</vt:lpwstr>
  </property>
</Properties>
</file>